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VAST Travel Training Awards Rubric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Capacity: How will the project advance the lab's research capacity in the area of VCI?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proposal does not address advancing capacity in VCI.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proposal clearly identifies the full details of travel and the project. It is unclear how the method will enhance capacity in the area of VCI. More information is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proposal clearly identifies the full details of travel and the project. The project clearly will advance the lab’s research capacity in a method relevant to VCI.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Novelty: Is the project novel to the applicant’s lab?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method is not novel to the applicant’s lab.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is unclear whether the method is novel to the applicant’s lab. More information is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method is definitely novel to the applicant’s lab.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other sources of funding available? (yes/no)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proposed project timeline within the next 6 months? (yes/no)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further areas for collaboration in the proposed project that you would recommend?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Further Comments: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